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BC" w:rsidRPr="002D3DBC" w:rsidRDefault="002D3DBC" w:rsidP="002D3DBC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 Times New Roman" w:hAnsi=" Times New Roman" w:cs=" Times New Roman"/>
          <w:color w:val="000000"/>
        </w:rPr>
      </w:pPr>
    </w:p>
    <w:p w:rsidR="003343B7" w:rsidRPr="003343B7" w:rsidRDefault="003343B7" w:rsidP="003343B7">
      <w:pPr>
        <w:widowControl w:val="0"/>
        <w:shd w:val="clear" w:color="auto" w:fill="FFFFFF"/>
        <w:autoSpaceDE w:val="0"/>
        <w:autoSpaceDN w:val="0"/>
        <w:adjustRightInd w:val="0"/>
        <w:rPr>
          <w:rFonts w:ascii=" Times New Roman" w:hAnsi=" Times New Roman" w:cs=" Times New Roman"/>
          <w:color w:val="000000"/>
        </w:rPr>
      </w:pPr>
    </w:p>
    <w:tbl>
      <w:tblPr>
        <w:tblW w:w="934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110"/>
        <w:gridCol w:w="5232"/>
      </w:tblGrid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br w:type="page"/>
            </w: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Vysoká škola:</w:t>
            </w:r>
            <w:r w:rsidRPr="008E1E58">
              <w:rPr>
                <w:rFonts w:ascii=" Times New Roman" w:hAnsi=" Times New Roman" w:cs=" Times New Roman"/>
                <w:color w:val="000000"/>
              </w:rPr>
              <w:t xml:space="preserve"> Univerzita sv. Cyrila a Metoda v Trnave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Fakulta:</w:t>
            </w:r>
            <w:r w:rsidRPr="008E1E58">
              <w:rPr>
                <w:rFonts w:ascii=" Times New Roman" w:hAnsi=" Times New Roman" w:cs=" Times New Roman"/>
                <w:color w:val="000000"/>
              </w:rPr>
              <w:t xml:space="preserve"> Fakulta zdravotníckych vied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Kód predmetu: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Názov predmetu: 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bookmarkStart w:id="0" w:name="_GoBack"/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Manuálna terapia</w:t>
            </w:r>
            <w:bookmarkEnd w:id="0"/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Druh, rozsah a metóda vzdelávacích činností: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Druh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>: denná forma:  prednášky/seminár/cvičenia/ o</w:t>
            </w:r>
            <w:r w:rsidRPr="008E1E58">
              <w:rPr>
                <w:rFonts w:ascii=" Times New Roman" w:hAnsi=" Times New Roman" w:cs=" Times New Roman"/>
                <w:color w:val="000000"/>
              </w:rPr>
              <w:t>dborná prax/samoštúdium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Prednášky:                     25 hod. / semester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Samoštúdium:               24 hod. / semester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Spolu záťaž:                </w:t>
            </w:r>
            <w:r w:rsidRPr="008E1E58">
              <w:rPr>
                <w:rFonts w:ascii=" Times New Roman" w:hAnsi=" Times New Roman" w:cs=" Times New Roman"/>
                <w:color w:val="000000"/>
              </w:rPr>
              <w:t xml:space="preserve">  49hod. / semester  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>Vzdelávacia činnosť sa uskutočňuje prezenčnou metódou.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Počet kreditov:</w:t>
            </w: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2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Odporúčaný </w:t>
            </w: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semester/trimester štúdia: </w:t>
            </w:r>
            <w:r w:rsidRPr="008E1E58">
              <w:rPr>
                <w:rFonts w:ascii=" Times New Roman" w:hAnsi=" Times New Roman" w:cs=" Times New Roman"/>
                <w:color w:val="000000"/>
              </w:rPr>
              <w:t>šiesty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Stupeň štúdia:</w:t>
            </w: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2</w:t>
            </w:r>
            <w:r w:rsidRPr="008E1E58">
              <w:rPr>
                <w:rFonts w:ascii=" Times New Roman" w:hAnsi=" Times New Roman" w:cs=" Times New Roman"/>
                <w:color w:val="000000"/>
              </w:rPr>
              <w:t>.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Podmieňujúce predmety:</w:t>
            </w:r>
            <w:r w:rsidRPr="008E1E58">
              <w:rPr>
                <w:rFonts w:ascii=" Times New Roman" w:hAnsi=" Times New Roman" w:cs=" Times New Roman"/>
                <w:color w:val="000000"/>
              </w:rPr>
              <w:t xml:space="preserve"> žiadny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Podmienky na absolvovanie predmetu: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Počas semestra: </w:t>
            </w:r>
            <w:r w:rsidRPr="008E1E58">
              <w:rPr>
                <w:rFonts w:ascii=" Times New Roman" w:hAnsi=" Times New Roman" w:cs=" Times New Roman"/>
                <w:color w:val="000000"/>
              </w:rPr>
              <w:t>100%</w:t>
            </w: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>účasť na prednáškach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Kontrola samoštúdia prebieha zadaním a vypracovaním semestrálnej práce- spracovanie  kazuistiky jedného  pacienta</w:t>
            </w: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 xml:space="preserve"> a jej prezentácie, tvorí 10% hodnotenia v konečnom hodnotení predmetu.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Záverečné hodnotenie:</w:t>
            </w:r>
            <w:r w:rsidRPr="008E1E58">
              <w:rPr>
                <w:rFonts w:ascii=" Times New Roman" w:hAnsi=" Times New Roman" w:cs=" Times New Roman"/>
                <w:color w:val="000000"/>
              </w:rPr>
              <w:t xml:space="preserve">  ústna skúška 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Hodnotenie predmetu: A: 100-91%, B: 90-81%, C: 80-71%, D: 70-61%, E: 60-51%, FX: 50-0%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Výsledky vzdelávania: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Absolvent je scho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pný samostatne realizovať diagnostické a terapeutické postupy v rozsahu manuálnej terapie. 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Na základe teoretických poznatkov bude ovládať základy manuálnej liečby, ktoré bude schopný samostatne aplikovať v praxi.</w:t>
            </w: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 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 CE" w:hAnsi=" Times New Roman CE" w:cs=" Times New Roman CE"/>
                <w:b/>
                <w:bCs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Stručná osnova predmetu: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Manuálna terapia – vyšetrenie a myofasciálne techniky.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>PIR – svalová  - všeobecné zásady, praktické prevádzanie, kĺbová vôľa.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>Kĺbová funkčná blokáda a jej následky.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>Mechanizmus a príčiny blokád.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 xml:space="preserve">Mobilizácia. 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Špecifická mobilizácia.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>Mobilizačné techniky v oblasti C, Th a</w:t>
            </w:r>
            <w:r w:rsidRPr="008E1E58">
              <w:rPr>
                <w:rFonts w:ascii=" Times New Roman" w:hAnsi=" Times New Roman" w:cs=" Times New Roman"/>
                <w:color w:val="000000"/>
              </w:rPr>
              <w:t xml:space="preserve"> L chrbtice a v oblasti periférnych nervov.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Indikácie a kontraindikácie manuálnej terapie.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Klinické vyšetrenie a terapia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 sakroiliakálneho kĺbu, blokáda, instabilita.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>Funkčné vyšetrenie pohybového aparátu.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Algoritmy vo fyzioterapeutickej diagnostike.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Vyšetrenie a terapia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 ramenného kĺbu a klinický obraz jeho porúch.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Vyšetrenie a terapia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 lakťového kĺbu, zápästného kĺbu, ruky a klinický obraz jeho porúch.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Vyšetrenie a terapia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 bedrového kĺbu, kolenného kĺbu, členkového kĺbu, nohy a klinický obraz jeho porúch.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Vyšetrenie a terapia  lumbosakrálnej chrbtice a klinický obraz jeho porúch.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Vyšetrenie a terapia hrudnej chrbtice a rebier a klinický obraz jeho porúch.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Diagnostika a terapia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 najčastejších klinických syndrómov v oblasti cervikálnej, thorakálnej a lumbálnej c</w:t>
            </w:r>
            <w:r w:rsidRPr="008E1E58">
              <w:rPr>
                <w:rFonts w:ascii=" Times New Roman" w:hAnsi=" Times New Roman" w:cs=" Times New Roman"/>
                <w:color w:val="000000"/>
              </w:rPr>
              <w:t>hrbtice.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lastRenderedPageBreak/>
              <w:t>Diagnostika a terapia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 klinických syndrómov ramena, lakťa, zápästia, ruky.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Diagnostika a terapia</w:t>
            </w: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 klinických syndrómov bedra, kolena, členku, nohy.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rPr>
                <w:rFonts w:ascii=" Times New Roman CE" w:hAnsi=" Times New Roman CE" w:cs=" Times New Roman CE"/>
                <w:b/>
                <w:bCs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lastRenderedPageBreak/>
              <w:t>Odporúčaná literatúra: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>LEWIT, K. : Manipulační léčba. Sdelovací technika. Praha, vyd. Sdělovací tec</w:t>
            </w:r>
            <w:r w:rsidRPr="008E1E58">
              <w:rPr>
                <w:rFonts w:ascii=" Times New Roman" w:hAnsi=" Times New Roman" w:cs=" Times New Roman"/>
                <w:color w:val="000000"/>
              </w:rPr>
              <w:t>hnika, 2003, ISBN: 8086645045.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RYCHLÍKOVÁ, E. : Manuální medicína. Praha: vyd. Maxdorf Jessenius, 2009, ISBN 9788073451691.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1"/>
              <w:jc w:val="both"/>
              <w:rPr>
                <w:rFonts w:ascii=" Times New Roman" w:hAnsi=" Times New Roman" w:cs=" Times New Roman"/>
                <w:b/>
                <w:bCs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TICHÝ, M. : </w:t>
            </w: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  <w:spacing w:val="-15"/>
              </w:rPr>
              <w:t xml:space="preserve">Funkční diagnostika pohybového aparátu. Praha, vyd. Triton, 2011, ISBN </w:t>
            </w: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807254022X.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Jazyk, ktorého znalosť je potrebná n</w:t>
            </w: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a absolvovanie predmetu:</w:t>
            </w:r>
            <w:r w:rsidRPr="008E1E58">
              <w:rPr>
                <w:rFonts w:ascii=" Times New Roman" w:hAnsi=" Times New Roman" w:cs=" Times New Roman"/>
                <w:color w:val="000000"/>
              </w:rPr>
              <w:t xml:space="preserve"> slovenský jazyk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Poznámky: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Hodnotenie predmetov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 CE" w:hAnsi=" Times New Roman CE" w:cs=" Times New Roman CE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color w:val="000000"/>
              </w:rPr>
              <w:t xml:space="preserve">Celkový počet hodnotených študentov: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517"/>
            </w:tblGrid>
            <w:tr w:rsidR="008E1E58" w:rsidRPr="008E1E58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E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8E1E58" w:rsidRPr="008E1E58" w:rsidRDefault="008E1E58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  <w:tr w:rsidR="008E1E58" w:rsidRPr="008E1E58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1E58" w:rsidRPr="008E1E58" w:rsidRDefault="008E1E58" w:rsidP="008E1E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8E1E58" w:rsidRPr="008E1E58" w:rsidRDefault="008E1E58">
                  <w:pPr>
                    <w:spacing w:after="160" w:line="259" w:lineRule="auto"/>
                    <w:rPr>
                      <w:rFonts w:ascii=" Times New Roman" w:hAnsi=" Times New Roman" w:cs=" Times New Roman"/>
                      <w:color w:val="000000"/>
                    </w:rPr>
                  </w:pPr>
                  <w:r w:rsidRPr="008E1E58">
                    <w:rPr>
                      <w:rFonts w:ascii=" Times New Roman" w:hAnsi=" Times New Roman" w:cs=" 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8E1E58" w:rsidRPr="008E1E58" w:rsidRDefault="008E1E58" w:rsidP="008E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 CE" w:hAnsi=" Times New Roman CE" w:cs=" Times New Roman CE"/>
                <w:b/>
                <w:bCs/>
                <w:color w:val="000000"/>
              </w:rPr>
              <w:t>Vyučujúci: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PhDr. Eva Vaská, PhD., MPH</w:t>
            </w:r>
          </w:p>
          <w:p w:rsidR="008E1E58" w:rsidRPr="008E1E58" w:rsidRDefault="008E1E58" w:rsidP="008E1E58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color w:val="000000"/>
              </w:rPr>
              <w:t>Mgr. Petra Dubajová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 xml:space="preserve">Dátum poslednej zmeny: </w:t>
            </w:r>
            <w:r w:rsidRPr="008E1E58">
              <w:rPr>
                <w:rFonts w:ascii=" Times New Roman" w:hAnsi=" Times New Roman" w:cs=" Times New Roman"/>
                <w:color w:val="000000"/>
              </w:rPr>
              <w:t>September 2020</w:t>
            </w:r>
          </w:p>
        </w:tc>
      </w:tr>
      <w:tr w:rsidR="008E1E58" w:rsidRPr="008E1E58" w:rsidTr="00096E9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58" w:rsidRPr="008E1E58" w:rsidRDefault="008E1E58" w:rsidP="008E1E58">
            <w:pPr>
              <w:widowControl w:val="0"/>
              <w:shd w:val="clear" w:color="auto" w:fill="FFFFFF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 Times New Roman" w:hAnsi=" Times New Roman" w:cs=" Times New Roman"/>
                <w:color w:val="000000"/>
              </w:rPr>
            </w:pPr>
            <w:r w:rsidRPr="008E1E58">
              <w:rPr>
                <w:rFonts w:ascii=" Times New Roman" w:hAnsi=" Times New Roman" w:cs=" Times New Roman"/>
                <w:b/>
                <w:bCs/>
                <w:color w:val="000000"/>
              </w:rPr>
              <w:t>Schválil: prof. MUDr. Ľudovít Gašpar,CSc.</w:t>
            </w:r>
          </w:p>
        </w:tc>
      </w:tr>
    </w:tbl>
    <w:p w:rsidR="000A6370" w:rsidRPr="00F533BB" w:rsidRDefault="000A6370">
      <w:pPr>
        <w:rPr>
          <w:rFonts w:ascii="Times New Roman" w:hAnsi="Times New Roman" w:cs="Times New Roman"/>
        </w:rPr>
      </w:pPr>
    </w:p>
    <w:sectPr w:rsidR="000A6370" w:rsidRPr="00F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 Times New Roman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0D1DE1"/>
    <w:rsid w:val="00104AEC"/>
    <w:rsid w:val="001254B6"/>
    <w:rsid w:val="00130052"/>
    <w:rsid w:val="00166212"/>
    <w:rsid w:val="00183070"/>
    <w:rsid w:val="001F4C65"/>
    <w:rsid w:val="001F5BCC"/>
    <w:rsid w:val="001F6242"/>
    <w:rsid w:val="0020189A"/>
    <w:rsid w:val="0020790A"/>
    <w:rsid w:val="00211C91"/>
    <w:rsid w:val="0023599D"/>
    <w:rsid w:val="0024775C"/>
    <w:rsid w:val="00270850"/>
    <w:rsid w:val="002A0B07"/>
    <w:rsid w:val="002B45B6"/>
    <w:rsid w:val="002D3DBC"/>
    <w:rsid w:val="002D42F8"/>
    <w:rsid w:val="002E01B2"/>
    <w:rsid w:val="002E7DB1"/>
    <w:rsid w:val="00303655"/>
    <w:rsid w:val="00321F92"/>
    <w:rsid w:val="003343B7"/>
    <w:rsid w:val="003875A2"/>
    <w:rsid w:val="00394EFF"/>
    <w:rsid w:val="00396F62"/>
    <w:rsid w:val="003A5C9A"/>
    <w:rsid w:val="003B6BAE"/>
    <w:rsid w:val="003F75CC"/>
    <w:rsid w:val="0045256A"/>
    <w:rsid w:val="00452F70"/>
    <w:rsid w:val="00475391"/>
    <w:rsid w:val="00482B09"/>
    <w:rsid w:val="00493386"/>
    <w:rsid w:val="0049631B"/>
    <w:rsid w:val="004B1631"/>
    <w:rsid w:val="004C3E2D"/>
    <w:rsid w:val="00507BA6"/>
    <w:rsid w:val="005231CA"/>
    <w:rsid w:val="0055775D"/>
    <w:rsid w:val="00565679"/>
    <w:rsid w:val="00574E03"/>
    <w:rsid w:val="00581E12"/>
    <w:rsid w:val="00586133"/>
    <w:rsid w:val="005A69BD"/>
    <w:rsid w:val="005B1B30"/>
    <w:rsid w:val="005F3ED4"/>
    <w:rsid w:val="00621170"/>
    <w:rsid w:val="00630ED9"/>
    <w:rsid w:val="006576C8"/>
    <w:rsid w:val="00676C54"/>
    <w:rsid w:val="006B7F7D"/>
    <w:rsid w:val="006C2C38"/>
    <w:rsid w:val="006E478C"/>
    <w:rsid w:val="006E5370"/>
    <w:rsid w:val="00792A02"/>
    <w:rsid w:val="007D0671"/>
    <w:rsid w:val="007D4AF4"/>
    <w:rsid w:val="007F23FB"/>
    <w:rsid w:val="00872E89"/>
    <w:rsid w:val="008927CE"/>
    <w:rsid w:val="008E059B"/>
    <w:rsid w:val="008E1E58"/>
    <w:rsid w:val="0093262A"/>
    <w:rsid w:val="00934C69"/>
    <w:rsid w:val="00977235"/>
    <w:rsid w:val="009818A4"/>
    <w:rsid w:val="009B7455"/>
    <w:rsid w:val="009F1BC9"/>
    <w:rsid w:val="00A00A20"/>
    <w:rsid w:val="00A00DD8"/>
    <w:rsid w:val="00A12547"/>
    <w:rsid w:val="00A16633"/>
    <w:rsid w:val="00A55B7E"/>
    <w:rsid w:val="00A76636"/>
    <w:rsid w:val="00AB57CA"/>
    <w:rsid w:val="00AC04CC"/>
    <w:rsid w:val="00AE4B36"/>
    <w:rsid w:val="00B463D4"/>
    <w:rsid w:val="00B74A75"/>
    <w:rsid w:val="00B8771C"/>
    <w:rsid w:val="00BC6E52"/>
    <w:rsid w:val="00BD7403"/>
    <w:rsid w:val="00BE7DD6"/>
    <w:rsid w:val="00C00FF2"/>
    <w:rsid w:val="00C30249"/>
    <w:rsid w:val="00C4452D"/>
    <w:rsid w:val="00C46683"/>
    <w:rsid w:val="00C53E25"/>
    <w:rsid w:val="00C90286"/>
    <w:rsid w:val="00CB3647"/>
    <w:rsid w:val="00CB4CE4"/>
    <w:rsid w:val="00CB646D"/>
    <w:rsid w:val="00CC32AD"/>
    <w:rsid w:val="00D56FD7"/>
    <w:rsid w:val="00DB25DE"/>
    <w:rsid w:val="00E37E87"/>
    <w:rsid w:val="00E46137"/>
    <w:rsid w:val="00E80FE6"/>
    <w:rsid w:val="00E8248E"/>
    <w:rsid w:val="00EA1EE5"/>
    <w:rsid w:val="00EB2C51"/>
    <w:rsid w:val="00ED0929"/>
    <w:rsid w:val="00EF3316"/>
    <w:rsid w:val="00F40C46"/>
    <w:rsid w:val="00F533BB"/>
    <w:rsid w:val="00F70312"/>
    <w:rsid w:val="00F77529"/>
    <w:rsid w:val="00F8184D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3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 Times New Roman" w:hAnsi=" Times New Roman" w:cs=" 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eastAsia="Times New Roman" w:hAnsi=" Times New Roman" w:cs=" Times New Roman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83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2020-11-04T09:46:00Z</dcterms:created>
  <dcterms:modified xsi:type="dcterms:W3CDTF">2020-11-04T09:46:00Z</dcterms:modified>
</cp:coreProperties>
</file>