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Vysoká škola: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Univerzita sv. Cyrila a Metoda v Trnave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Fakulta: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F77529" w:rsidRPr="00BF2D94" w:rsidTr="00096E96">
        <w:tc>
          <w:tcPr>
            <w:tcW w:w="4110" w:type="dxa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Kód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12" w:type="dxa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predmetu: </w:t>
            </w:r>
          </w:p>
          <w:p w:rsidR="00F77529" w:rsidRPr="00BF2D94" w:rsidRDefault="00F77529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Obhajoba bakalárskej práce </w:t>
            </w:r>
            <w:bookmarkEnd w:id="0"/>
          </w:p>
        </w:tc>
      </w:tr>
      <w:tr w:rsidR="00F77529" w:rsidRPr="00BF2D94" w:rsidTr="00096E96">
        <w:trPr>
          <w:trHeight w:val="1110"/>
        </w:trPr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</w:p>
          <w:p w:rsidR="00F77529" w:rsidRPr="00BF2D94" w:rsidRDefault="00F77529" w:rsidP="00096E9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:            150 hod. / semester</w:t>
            </w:r>
          </w:p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Spolu záťaž:               150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hod. / semester  </w:t>
            </w:r>
          </w:p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F77529" w:rsidRPr="00BF2D94" w:rsidTr="00096E96">
        <w:trPr>
          <w:trHeight w:val="286"/>
        </w:trPr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Počet kreditov: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Odporúčaný semester/</w:t>
            </w:r>
            <w:proofErr w:type="spellStart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trimester</w:t>
            </w:r>
            <w:proofErr w:type="spellEnd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štúdia: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šiesty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Stupeň štúdia: 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seminár k bakalárskej práci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Podmienky na absolvovanie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Priebežné hodnotenie: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Účasť na konzultáciách, kontrolované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– výsledok školské dielo, hodnotenie bakalárskej práce vedúcim práce. </w:t>
            </w:r>
          </w:p>
          <w:p w:rsidR="00F77529" w:rsidRPr="00BF2D94" w:rsidRDefault="00F77529" w:rsidP="00096E96">
            <w:pPr>
              <w:pStyle w:val="Default"/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Študent vypracuje bakalársku prácu v spolupráci s vedúcim bakalárskej práce podľa Smernice rektora UCM v Trnave s názvom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sk-SK"/>
              </w:rPr>
              <w:t>Smernica rektora o základných  náležitostiach záverečných prác, kvalifikačných prác, kontrole originality, ich uchovávaní a sprístupňovaní na UCM v Trnave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. V záverečnej práci študent preukazuje štúdiom získanú spôsobilosť analyzovať fyzioterapeutický problém, resp. situáciu, na základe toho samostatne klasifikovať a systemizovať odporúčané pracovné postupy, zdôvodňovať predkladané myšlienky ako aj kultivovane formulovať praktické závery i odporúčania. Vypracovanú bakalársku prácu študent odovzdá v elektronickej podobe prostredníctvom akademického informačného systému a v printovej verzii v dvoch vyhotoveniach na študijné oddelenie.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Záverečné hodnotenie: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Obhajoba bakalárskej práce pred štátnicovou komisiou.</w:t>
            </w:r>
          </w:p>
          <w:p w:rsidR="00F77529" w:rsidRPr="00BF2D94" w:rsidRDefault="00F77529" w:rsidP="00096E96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Skúšobná komisia zohľadňuje hodnotenie vedúceho bakalárskej práce, oponenta bakalárskej práce, protokol o kontrole originality a samotnú obhajobu bakalárskej práce študentom pred skúšobnou komisiou pre štátne skúšky.</w:t>
            </w:r>
          </w:p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Ak študent bakalársku prácu neobháji na štátnej skúške, skúšobná komisia rozhodne, či sa práca vráti na prepracovanie alebo sa študentovi umožní zmena témy.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Komplexné informácie o metodológii a štruktúre vypracovania bakalárskej práce, schopnosť vypracovať bakalársku prácu a obhájiť jej obsah. </w:t>
            </w:r>
          </w:p>
          <w:p w:rsidR="00F77529" w:rsidRPr="00BF2D94" w:rsidRDefault="00F77529" w:rsidP="00096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Cieľ predmetu: </w:t>
            </w:r>
          </w:p>
          <w:p w:rsidR="00F77529" w:rsidRPr="00BF2D94" w:rsidRDefault="00F77529" w:rsidP="00096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Zvládnutie teoretických a praktických základov riešeného problému z odboru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fyzioterapia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77529" w:rsidRPr="00BF2D94" w:rsidRDefault="00F77529" w:rsidP="00096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Teoretické poznatky: </w:t>
            </w:r>
          </w:p>
          <w:p w:rsidR="00F77529" w:rsidRPr="00BF2D94" w:rsidRDefault="00F77529" w:rsidP="00096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Schopnosť pracovať s domácou aj zahraničnou odbornou literatúrou, vybrať z nej podstatné informácie pre tému bakalárskej práce, uplatniť odborné vedomosti pri zhromažďovaní, interpretácii a spracúvaní základnej odbornej literatúry.</w:t>
            </w:r>
          </w:p>
          <w:p w:rsidR="00F77529" w:rsidRPr="00BF2D94" w:rsidRDefault="00F77529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Praktické zručnosti: 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Formálne spracovať zadanú tému bakalárskej práce.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Je definovaná v informačných listoch predmetu seminár k bakalárskej práci.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Práca s odbornou literatúrou.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Stanovenie cieľov práce.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Voľba metodiky a metódy spracovania práce. 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Analýza získaných údajov.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lastRenderedPageBreak/>
              <w:t>Syntéza výsledkov a výstupov pre verejno-zdravotnícku prax a vzdelávanie.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Spracovanie údajov a ich interpretácia.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Odovzdanie školského diela.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Prezentácia bakalárskej práce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Obhajoba obsahu práce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Odpovede na otázky vedúceho, oponenta a členov skúšobnej komisie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Odporúčaná literatúra: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KATUŠČÁK, D. 2008.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Ako písať záverečné a kvalifikačné práce.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Nitra: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Enigma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2008. 162 s. ISBN 978-80-89132-45-4.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KIMLIČKA, Š.: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Metodika písania vysokoškolských a kvalifikačných prác.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on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line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] Bratislava: Univerzita Komenského, 2006.</w:t>
            </w:r>
          </w:p>
          <w:p w:rsidR="00F77529" w:rsidRPr="00BF2D94" w:rsidRDefault="00F77529" w:rsidP="00096E96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MEŠKO, D. - KATUŠČÁK, D. - FINDRA, J. 2005.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Akademická príručka.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Martin: Osveta, 2005. 496 s. ISBN 80-8063-200-6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RYBÁROVÁ, Ľ. - BAČIŠINOVÁ, J. - RYBÁROVÁ, D. 2006.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Metodika písania bakalárskej práce.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2006. Martin: Osveta, 2004. 58 s. ISBN 80-8063-204-9.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Jazyk, ktorého znalosť je potrebná na absolvovanie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Slovenský jazyk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Hodnotenie predmetov</w:t>
            </w:r>
          </w:p>
          <w:p w:rsidR="00F77529" w:rsidRPr="00BF2D94" w:rsidRDefault="00F77529" w:rsidP="00096E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Celkový počet hodnotených študentov: </w:t>
            </w: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F77529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F77529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529" w:rsidRPr="00BF2D94" w:rsidRDefault="00F77529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:rsidR="00F77529" w:rsidRPr="00BF2D94" w:rsidRDefault="00F77529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pStyle w:val="Vfdchodzed61tfdl"/>
              <w:widowControl/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Vyučujúci: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prof. MUDr. Štefan Galbavý, DrSc.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prof. MUDr. Jozef Rovenský, DrSc.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prof. MUDr. Štefan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Durdík</w:t>
            </w:r>
            <w:proofErr w:type="spellEnd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, CSc.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prof. MUDr. Ľudovít Gašpar, CSc.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prof. MUDr. Branislav Kollár, PhD.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prof. MUDr. Jaroslav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Kresánek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doc. PhDr. Andrea Botíková, PhD.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doc. MUDr. Jozef Lukáč, CSc.  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doc. MUDr. Zuzana Popracová, PhD.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doc. MUDr. Jana Slobodníková, CSc.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snapToGrid w:val="0"/>
                <w:color w:val="000000" w:themeColor="text1"/>
              </w:rPr>
              <w:t>doc. PhDr. Elena Žiaková, PhD.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doc. MUDr. Viliam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Žilínek</w:t>
            </w:r>
            <w:proofErr w:type="spellEnd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, CSc.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MUDr. Marián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Kondáš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MUDr. Ján Mašán, PhD.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Mgr. Anna Plačková, PhD.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MUDr. Ľudovít Pravda, PhD.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PaedDr. Bc. Iveta Rosinová, PhD., MHA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PhDr. Nina Sládeková, PhD.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PhDr. Oľga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Škachová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:rsidR="00F77529" w:rsidRPr="00BF2D94" w:rsidRDefault="00F77529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MUDr. Juraj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Štofko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PhD., MPH, MBA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F77529" w:rsidRPr="00BF2D94" w:rsidTr="00096E96">
        <w:tc>
          <w:tcPr>
            <w:tcW w:w="9322" w:type="dxa"/>
            <w:gridSpan w:val="2"/>
          </w:tcPr>
          <w:p w:rsidR="00F77529" w:rsidRPr="00BF2D94" w:rsidRDefault="00F77529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:rsidR="000A6370" w:rsidRDefault="000A6370"/>
    <w:sectPr w:rsid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A6370"/>
    <w:rsid w:val="001254B6"/>
    <w:rsid w:val="00166212"/>
    <w:rsid w:val="001F4C65"/>
    <w:rsid w:val="00211C91"/>
    <w:rsid w:val="0024775C"/>
    <w:rsid w:val="002D42F8"/>
    <w:rsid w:val="002E01B2"/>
    <w:rsid w:val="00303655"/>
    <w:rsid w:val="00321F92"/>
    <w:rsid w:val="00396F62"/>
    <w:rsid w:val="003A5C9A"/>
    <w:rsid w:val="00482B09"/>
    <w:rsid w:val="0049631B"/>
    <w:rsid w:val="005231CA"/>
    <w:rsid w:val="00581E12"/>
    <w:rsid w:val="00586133"/>
    <w:rsid w:val="00621170"/>
    <w:rsid w:val="006576C8"/>
    <w:rsid w:val="006C2C38"/>
    <w:rsid w:val="006E478C"/>
    <w:rsid w:val="007D0671"/>
    <w:rsid w:val="007D4AF4"/>
    <w:rsid w:val="007F23FB"/>
    <w:rsid w:val="008927CE"/>
    <w:rsid w:val="008E059B"/>
    <w:rsid w:val="009818A4"/>
    <w:rsid w:val="00B8771C"/>
    <w:rsid w:val="00BE7DD6"/>
    <w:rsid w:val="00CB3647"/>
    <w:rsid w:val="00CB646D"/>
    <w:rsid w:val="00E37E87"/>
    <w:rsid w:val="00EA1EE5"/>
    <w:rsid w:val="00EB2C51"/>
    <w:rsid w:val="00F70312"/>
    <w:rsid w:val="00F77529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2020-11-04T09:04:00Z</dcterms:created>
  <dcterms:modified xsi:type="dcterms:W3CDTF">2020-11-04T09:04:00Z</dcterms:modified>
</cp:coreProperties>
</file>